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F8A1" w14:textId="5188F9E6" w:rsidR="00341817" w:rsidRPr="00B10A71" w:rsidRDefault="00B10A71" w:rsidP="00892123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الفهرس</w:t>
      </w:r>
    </w:p>
    <w:sdt>
      <w:sdtPr>
        <w:rPr>
          <w:rFonts w:asciiTheme="majorBidi" w:eastAsiaTheme="minorHAnsi" w:hAnsiTheme="majorBidi"/>
          <w:b w:val="0"/>
          <w:bCs w:val="0"/>
          <w:color w:val="auto"/>
          <w:sz w:val="22"/>
          <w:szCs w:val="22"/>
          <w:lang w:eastAsia="en-US"/>
        </w:rPr>
        <w:id w:val="-114119425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B3F7E0" w14:textId="77777777" w:rsidR="00207BF9" w:rsidRPr="00B10A71" w:rsidRDefault="00207BF9" w:rsidP="00207BF9">
          <w:pPr>
            <w:pStyle w:val="TOCHeading"/>
            <w:spacing w:line="200" w:lineRule="exact"/>
            <w:rPr>
              <w:rFonts w:asciiTheme="majorBidi" w:hAnsiTheme="majorBidi"/>
            </w:rPr>
          </w:pPr>
        </w:p>
        <w:p w14:paraId="51393FD7" w14:textId="77777777" w:rsidR="00207BF9" w:rsidRPr="00B10A71" w:rsidRDefault="00207BF9" w:rsidP="006C0988">
          <w:pPr>
            <w:pStyle w:val="TOC1"/>
            <w:spacing w:line="200" w:lineRule="exact"/>
            <w:rPr>
              <w:rFonts w:asciiTheme="majorBidi" w:hAnsiTheme="majorBidi" w:cstheme="majorBidi"/>
              <w:noProof/>
            </w:rPr>
          </w:pPr>
          <w:r w:rsidRPr="00B10A71">
            <w:rPr>
              <w:rFonts w:asciiTheme="majorBidi" w:hAnsiTheme="majorBidi" w:cstheme="majorBidi"/>
            </w:rPr>
            <w:fldChar w:fldCharType="begin"/>
          </w:r>
          <w:r w:rsidRPr="00B10A71">
            <w:rPr>
              <w:rFonts w:asciiTheme="majorBidi" w:hAnsiTheme="majorBidi" w:cstheme="majorBidi"/>
            </w:rPr>
            <w:instrText xml:space="preserve"> TOC \o "1-3" \h \z \u </w:instrText>
          </w:r>
          <w:r w:rsidRPr="00B10A71">
            <w:rPr>
              <w:rFonts w:asciiTheme="majorBidi" w:hAnsiTheme="majorBidi" w:cstheme="majorBidi"/>
            </w:rPr>
            <w:fldChar w:fldCharType="separate"/>
          </w:r>
          <w:hyperlink w:anchor="_Toc525020291" w:history="1">
            <w:r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1</w:t>
            </w:r>
            <w:r w:rsidRPr="00B10A71">
              <w:rPr>
                <w:rFonts w:asciiTheme="majorBidi" w:hAnsiTheme="majorBidi" w:cstheme="majorBidi"/>
                <w:noProof/>
              </w:rPr>
              <w:tab/>
            </w:r>
            <w:r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عام</w:t>
            </w:r>
            <w:r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_Toc525020291 \h </w:instrText>
            </w:r>
            <w:r w:rsidRPr="00B10A71">
              <w:rPr>
                <w:rFonts w:asciiTheme="majorBidi" w:hAnsiTheme="majorBidi" w:cstheme="majorBidi"/>
                <w:noProof/>
                <w:webHidden/>
              </w:rPr>
            </w:r>
            <w:r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C52F16D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2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1.1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مقدمة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_Toc525020292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5049FAA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3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1.2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قابلية التطبيق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_Toc525020293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D6E1806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4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1.3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التعريفات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_Toc525020294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39C5ACC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5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1.4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الاختصارات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_Toc525020295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0541BED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6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1.5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المتطلبات العامة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_Toc525020296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5C02871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7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1.6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القوانين والمعايير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_Toc525020297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7DC4C9E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8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1.7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المراجعة والاعتماد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_Toc525020298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97433DF" w14:textId="77777777" w:rsidR="00207BF9" w:rsidRPr="00B10A71" w:rsidRDefault="00962C23" w:rsidP="006C0988">
          <w:pPr>
            <w:pStyle w:val="TOC1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299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2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تحليل الحركة المرورية وتخطيطها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_Toc525020299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9F6D01F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0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2.1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عام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_Toc525020300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C9B147F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1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2.2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خطة المنطقة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_Toc525020301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46E20CE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2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خطة الحركة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_Toc525020302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FED626A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3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2.4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تقرير المنهجية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_Toc525020303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0E565C9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4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2.5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دراسة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حركة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التأثير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 xml:space="preserve"> 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على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_Toc525020304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B7E8B5D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5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2.6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الخطة الرئيسية للنقل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_Toc525020305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0B5433B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6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2.7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البرامج الهندسية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_Toc525020306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4E0FD1B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7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2.8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تدقيق سلامة جانب الطريق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_Toc525020307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65AEA5F" w14:textId="77777777" w:rsidR="00207BF9" w:rsidRPr="00B10A71" w:rsidRDefault="00962C23" w:rsidP="00207BF9">
          <w:pPr>
            <w:pStyle w:val="TOC1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8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3.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</w:rPr>
              <w:t>الإشارات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_Toc525020308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8DE181F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09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تصميم إشارات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_Toc525020309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B5066C0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0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3.1.1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التقييم والتحليل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_Toc525020310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682DFF1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1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3.1.2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المتطلبات التشغيلية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_Toc525020311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5D5F4B1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2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3.1.3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عرض وتصميم الإشارات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_Toc525020312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C1929D5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3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3.1.4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سمات مراقبة المشاة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_Toc525020313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C6689D9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4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3.1.5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مخطط تسلسل المرحلة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_Toc525020314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4C32FE2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5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3.1.6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متطلبات الإضاءة لإشارات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_Toc525020315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F10DA14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6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3.1.7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ضوابط إشارات المرور الثلاثة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_Toc525020316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48AF71A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7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3.1.8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أجهزة الكشف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_Toc525020317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2365F02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8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3.1.9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الأسلاك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/</w:t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الكابلات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_Toc525020318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AE7C345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19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3.1.10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معدات إشارات المرور الأخرى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_Toc525020319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83AE4FC" w14:textId="77777777" w:rsidR="00207BF9" w:rsidRPr="00B10A71" w:rsidRDefault="00962C23" w:rsidP="00207BF9">
          <w:pPr>
            <w:pStyle w:val="TOC3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0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3.1.11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إشارات المرور الأخرى.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_Toc525020320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66F9D39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1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3.2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مراقبة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_Toc525020321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2EF48FC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2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3.3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تهدئة حركة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_Toc525020322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8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0CFA4A5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3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3.4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تدابير التنقل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_Toc525020323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8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8EC1128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4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3.5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تحسين المرور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_Toc525020324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8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35AF364" w14:textId="77777777" w:rsidR="00207BF9" w:rsidRPr="00B10A71" w:rsidRDefault="00962C23" w:rsidP="00207BF9">
          <w:pPr>
            <w:pStyle w:val="TOC2"/>
            <w:spacing w:line="200" w:lineRule="exact"/>
            <w:rPr>
              <w:rFonts w:asciiTheme="majorBidi" w:hAnsiTheme="majorBidi" w:cstheme="majorBidi"/>
              <w:noProof/>
            </w:rPr>
          </w:pPr>
          <w:hyperlink w:anchor="_Toc525020325" w:history="1"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3.6</w:t>
            </w:r>
            <w:r w:rsidR="00207BF9" w:rsidRPr="00B10A71">
              <w:rPr>
                <w:rFonts w:asciiTheme="majorBidi" w:hAnsiTheme="majorBidi" w:cstheme="majorBidi"/>
                <w:noProof/>
              </w:rPr>
              <w:tab/>
            </w:r>
            <w:r w:rsidR="00207BF9" w:rsidRPr="00B10A71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نظام النقل الذكي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tab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instrText xml:space="preserve"> PAGEREF _Toc525020325 \h </w:instrTex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A4420A" w:rsidRPr="00B10A71">
              <w:rPr>
                <w:rFonts w:asciiTheme="majorBidi" w:hAnsiTheme="majorBidi" w:cstheme="majorBidi"/>
                <w:noProof/>
                <w:webHidden/>
                <w:rtl/>
              </w:rPr>
              <w:t>8</w:t>
            </w:r>
            <w:r w:rsidR="00207BF9" w:rsidRPr="00B10A71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337FE39" w14:textId="77777777" w:rsidR="00207BF9" w:rsidRPr="00B10A71" w:rsidRDefault="00207BF9" w:rsidP="00207BF9">
          <w:pPr>
            <w:spacing w:line="200" w:lineRule="exact"/>
            <w:rPr>
              <w:rFonts w:asciiTheme="majorBidi" w:hAnsiTheme="majorBidi" w:cstheme="majorBidi"/>
            </w:rPr>
          </w:pPr>
          <w:r w:rsidRPr="00B10A71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14:paraId="2620A1B5" w14:textId="77777777" w:rsidR="00576B6C" w:rsidRPr="00B10A71" w:rsidRDefault="00576B6C" w:rsidP="00892123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4CE85DCB" w14:textId="77777777" w:rsidR="00341817" w:rsidRPr="00B10A71" w:rsidRDefault="00341817" w:rsidP="006D56DF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0" w:name="_Toc525020291"/>
      <w:r w:rsidRPr="00B10A71">
        <w:rPr>
          <w:rFonts w:asciiTheme="majorBidi" w:hAnsiTheme="majorBidi"/>
          <w:color w:val="auto"/>
          <w:rtl/>
          <w:lang w:bidi="ar-EG"/>
        </w:rPr>
        <w:lastRenderedPageBreak/>
        <w:t>عام</w:t>
      </w:r>
      <w:bookmarkEnd w:id="0"/>
    </w:p>
    <w:p w14:paraId="096301B3" w14:textId="77777777" w:rsidR="00341817" w:rsidRPr="00B10A71" w:rsidRDefault="00341817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" w:name="_Toc525020292"/>
      <w:r w:rsidRPr="00B10A71">
        <w:rPr>
          <w:rFonts w:asciiTheme="majorBidi" w:hAnsiTheme="majorBidi"/>
          <w:color w:val="auto"/>
          <w:rtl/>
          <w:lang w:bidi="ar-EG"/>
        </w:rPr>
        <w:t>مقدمة</w:t>
      </w:r>
      <w:bookmarkEnd w:id="1"/>
    </w:p>
    <w:p w14:paraId="3644F869" w14:textId="77777777" w:rsidR="00341817" w:rsidRPr="00B10A71" w:rsidRDefault="009E675E" w:rsidP="009E675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الجهة أو الجهات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تطوير معايير التصميم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وت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>خص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ص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المؤسسة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/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المؤسس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ات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المسؤ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ولة عن التصميم والبناء والتشغيل والصيانة.</w:t>
      </w:r>
    </w:p>
    <w:p w14:paraId="0EFA9975" w14:textId="77777777" w:rsidR="00341817" w:rsidRPr="00B10A71" w:rsidRDefault="006D56DF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2" w:name="_Toc525020293"/>
      <w:r w:rsidR="00341817" w:rsidRPr="00B10A71">
        <w:rPr>
          <w:rFonts w:asciiTheme="majorBidi" w:hAnsiTheme="majorBidi"/>
          <w:color w:val="auto"/>
          <w:rtl/>
          <w:lang w:bidi="ar-EG"/>
        </w:rPr>
        <w:t>قابلية التطبيق</w:t>
      </w:r>
      <w:bookmarkEnd w:id="2"/>
    </w:p>
    <w:p w14:paraId="3EDDD1A8" w14:textId="77777777" w:rsidR="00341817" w:rsidRPr="00B10A71" w:rsidRDefault="009E675E" w:rsidP="009E675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قابلية تطبيق معايير التصميم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والحدود ذات الصلة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5EC0DDB1" w14:textId="77777777" w:rsidR="00341817" w:rsidRPr="00B10A71" w:rsidRDefault="00341817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3" w:name="_Toc525020294"/>
      <w:r w:rsidRPr="00B10A71">
        <w:rPr>
          <w:rFonts w:asciiTheme="majorBidi" w:hAnsiTheme="majorBidi"/>
          <w:color w:val="auto"/>
          <w:rtl/>
          <w:lang w:bidi="ar-EG"/>
        </w:rPr>
        <w:t>التعريفات</w:t>
      </w:r>
      <w:bookmarkEnd w:id="3"/>
    </w:p>
    <w:p w14:paraId="2805A9F7" w14:textId="77777777" w:rsidR="00341817" w:rsidRPr="00B10A71" w:rsidRDefault="009E675E" w:rsidP="00892123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شرح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التعريفات الفنية المختلفة المستخدمة في معايير التصميم.</w:t>
      </w:r>
    </w:p>
    <w:p w14:paraId="7C563A53" w14:textId="77777777" w:rsidR="00341817" w:rsidRPr="00B10A71" w:rsidRDefault="006D56DF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4" w:name="_Toc525020295"/>
      <w:r w:rsidR="00341817" w:rsidRPr="00B10A71">
        <w:rPr>
          <w:rFonts w:asciiTheme="majorBidi" w:hAnsiTheme="majorBidi"/>
          <w:color w:val="auto"/>
          <w:rtl/>
          <w:lang w:bidi="ar-EG"/>
        </w:rPr>
        <w:t>الاختصارات</w:t>
      </w:r>
      <w:bookmarkEnd w:id="4"/>
    </w:p>
    <w:p w14:paraId="13087AF1" w14:textId="77777777" w:rsidR="00341817" w:rsidRPr="00B10A71" w:rsidRDefault="009E675E" w:rsidP="00892123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</w:rPr>
        <w:t>إدراج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جميع الاختصارات الفنية المستخدمة في معايير التصميم.</w:t>
      </w:r>
    </w:p>
    <w:p w14:paraId="47611B89" w14:textId="77777777" w:rsidR="00341817" w:rsidRPr="00B10A71" w:rsidRDefault="006D56DF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5" w:name="_Toc525020296"/>
      <w:r w:rsidR="00341817" w:rsidRPr="00B10A71">
        <w:rPr>
          <w:rFonts w:asciiTheme="majorBidi" w:hAnsiTheme="majorBidi"/>
          <w:color w:val="auto"/>
          <w:rtl/>
          <w:lang w:bidi="ar-EG"/>
        </w:rPr>
        <w:t>المتطلبات العامة</w:t>
      </w:r>
      <w:bookmarkEnd w:id="5"/>
    </w:p>
    <w:p w14:paraId="736A2225" w14:textId="77777777" w:rsidR="00341817" w:rsidRPr="00B10A71" w:rsidRDefault="009E675E" w:rsidP="009E675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وصف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المنشورات الدولية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المتعلقة ب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متطلبات التصميم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التي يمكن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اتباعها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بالتزامن مع معايير التصميم.</w:t>
      </w:r>
    </w:p>
    <w:p w14:paraId="49ACDB4E" w14:textId="77777777" w:rsidR="00341817" w:rsidRPr="00B10A71" w:rsidRDefault="006D56DF" w:rsidP="00C40EDC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6" w:name="_Toc525020297"/>
      <w:r w:rsidR="00C40EDC" w:rsidRPr="00B10A71">
        <w:rPr>
          <w:rFonts w:asciiTheme="majorBidi" w:hAnsiTheme="majorBidi"/>
          <w:color w:val="auto"/>
          <w:rtl/>
          <w:lang w:bidi="ar-EG"/>
        </w:rPr>
        <w:t>الأكواد</w:t>
      </w:r>
      <w:r w:rsidR="00341817" w:rsidRPr="00B10A71">
        <w:rPr>
          <w:rFonts w:asciiTheme="majorBidi" w:hAnsiTheme="majorBidi"/>
          <w:color w:val="auto"/>
          <w:rtl/>
          <w:lang w:bidi="ar-EG"/>
        </w:rPr>
        <w:t xml:space="preserve"> والمعايير</w:t>
      </w:r>
      <w:bookmarkEnd w:id="6"/>
    </w:p>
    <w:p w14:paraId="07660E8A" w14:textId="77777777" w:rsidR="00341817" w:rsidRPr="00B10A71" w:rsidRDefault="00341817" w:rsidP="0079572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امتثال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773A0E" w:rsidRPr="00B10A71">
        <w:rPr>
          <w:rFonts w:asciiTheme="majorBidi" w:hAnsiTheme="majorBidi" w:cstheme="majorBidi"/>
          <w:sz w:val="24"/>
          <w:szCs w:val="24"/>
          <w:rtl/>
          <w:lang w:bidi="ar-EG"/>
        </w:rPr>
        <w:t>معايير المرور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بجميع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الأكواد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 واللوائح المحلية والوطنية والدولية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المُطبقة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ويجب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إدراج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هذه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الأكود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 واللوائح في معايير التصميم. </w:t>
      </w:r>
      <w:r w:rsidR="009E675E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وعلى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المصمم </w:t>
      </w:r>
      <w:r w:rsidR="00C40EDC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ترتيب</w:t>
      </w:r>
      <w:r w:rsidR="006341E1" w:rsidRPr="00B10A71">
        <w:rPr>
          <w:rFonts w:asciiTheme="majorBidi" w:hAnsiTheme="majorBidi" w:cstheme="majorBidi"/>
          <w:sz w:val="24"/>
          <w:szCs w:val="24"/>
          <w:rtl/>
          <w:lang w:bidi="ar-EG"/>
        </w:rPr>
        <w:t>ها</w:t>
      </w:r>
      <w:r w:rsidR="00C40EDC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حسب أولوية التطبيق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795726" w:rsidRPr="00B10A71">
        <w:rPr>
          <w:rFonts w:asciiTheme="majorBidi" w:hAnsiTheme="majorBidi" w:cstheme="majorBidi"/>
          <w:sz w:val="24"/>
          <w:szCs w:val="24"/>
          <w:rtl/>
        </w:rPr>
        <w:t>وضمان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معالجة أي تباينات بين </w:t>
      </w:r>
      <w:r w:rsidR="00C40EDC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الأنظمة المُدرجة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 معايير التصميم.</w:t>
      </w:r>
    </w:p>
    <w:p w14:paraId="71487762" w14:textId="77777777" w:rsidR="00341817" w:rsidRPr="00B10A71" w:rsidRDefault="006D56DF" w:rsidP="006D56DF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7" w:name="_Toc525020298"/>
      <w:r w:rsidR="00341817" w:rsidRPr="00B10A71">
        <w:rPr>
          <w:rFonts w:asciiTheme="majorBidi" w:hAnsiTheme="majorBidi"/>
          <w:color w:val="auto"/>
          <w:rtl/>
          <w:lang w:bidi="ar-EG"/>
        </w:rPr>
        <w:t>المراجعة والاعتماد</w:t>
      </w:r>
      <w:bookmarkEnd w:id="7"/>
    </w:p>
    <w:p w14:paraId="0418CDBC" w14:textId="77777777" w:rsidR="00341817" w:rsidRPr="00B10A71" w:rsidRDefault="006341E1" w:rsidP="006341E1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المؤسسة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/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المؤسسات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34181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مراجعة واعتماد تقارير التصميم والخطط والمواصفات.</w:t>
      </w:r>
    </w:p>
    <w:p w14:paraId="469964C3" w14:textId="77777777" w:rsidR="00564200" w:rsidRPr="00B10A71" w:rsidRDefault="00564200" w:rsidP="006D56DF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8" w:name="_Toc525020299"/>
      <w:r w:rsidRPr="00B10A71">
        <w:rPr>
          <w:rFonts w:asciiTheme="majorBidi" w:hAnsiTheme="majorBidi"/>
          <w:color w:val="auto"/>
          <w:rtl/>
          <w:lang w:bidi="ar-EG"/>
        </w:rPr>
        <w:t xml:space="preserve">تحليل </w:t>
      </w:r>
      <w:r w:rsidR="00892123" w:rsidRPr="00B10A71">
        <w:rPr>
          <w:rFonts w:asciiTheme="majorBidi" w:hAnsiTheme="majorBidi"/>
          <w:color w:val="auto"/>
          <w:rtl/>
          <w:lang w:bidi="ar-EG"/>
        </w:rPr>
        <w:t xml:space="preserve">الحركة </w:t>
      </w:r>
      <w:r w:rsidRPr="00B10A71">
        <w:rPr>
          <w:rFonts w:asciiTheme="majorBidi" w:hAnsiTheme="majorBidi"/>
          <w:color w:val="auto"/>
          <w:rtl/>
          <w:lang w:bidi="ar-EG"/>
        </w:rPr>
        <w:t>المرور</w:t>
      </w:r>
      <w:r w:rsidR="00892123" w:rsidRPr="00B10A71">
        <w:rPr>
          <w:rFonts w:asciiTheme="majorBidi" w:hAnsiTheme="majorBidi"/>
          <w:color w:val="auto"/>
          <w:rtl/>
          <w:lang w:bidi="ar-EG"/>
        </w:rPr>
        <w:t>ية وتخطيطها</w:t>
      </w:r>
      <w:bookmarkEnd w:id="8"/>
      <w:r w:rsidR="00892123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05BB60EA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9" w:name="_Toc525020300"/>
      <w:r w:rsidR="00564200" w:rsidRPr="00B10A71">
        <w:rPr>
          <w:rFonts w:asciiTheme="majorBidi" w:hAnsiTheme="majorBidi"/>
          <w:color w:val="auto"/>
          <w:rtl/>
          <w:lang w:bidi="ar-EG"/>
        </w:rPr>
        <w:t>عام</w:t>
      </w:r>
      <w:bookmarkEnd w:id="9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00819CD8" w14:textId="77777777" w:rsidR="00564200" w:rsidRPr="00B10A71" w:rsidRDefault="00795726" w:rsidP="0079572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يمكن تحليل حركة المرور من خلال عدة وسائل،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خطة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الحركة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دراسة تأثير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حركة المرور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وخطة إدارة حركة المرور. وتستند هذه الدراسات على العديد من العوامل بما في ذلك مكان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الموقع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وشبكة الطرق المحيطة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ونطاق التطوير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ويجب أن تحدد</w:t>
      </w:r>
      <w:r w:rsidR="00EB2AB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معايير التصميم بوضوح الأساس والحاجة لإجراء هذه الدراسات بالإضافة إلى نطاق وقيود كل دراسة.</w:t>
      </w:r>
    </w:p>
    <w:p w14:paraId="076AC7EA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10" w:name="_Toc525020301"/>
      <w:r w:rsidR="00564200" w:rsidRPr="00B10A71">
        <w:rPr>
          <w:rFonts w:asciiTheme="majorBidi" w:hAnsiTheme="majorBidi"/>
          <w:color w:val="auto"/>
          <w:rtl/>
          <w:lang w:bidi="ar-EG"/>
        </w:rPr>
        <w:t>خطة المنطقة</w:t>
      </w:r>
      <w:bookmarkEnd w:id="10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26840D63" w14:textId="77777777" w:rsidR="0036171E" w:rsidRPr="00B10A71" w:rsidRDefault="00647C9C" w:rsidP="00654D40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عند وجود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مخطط منطقة قابل للتطبيق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0123D" w:rsidRPr="00B10A71">
        <w:rPr>
          <w:rFonts w:asciiTheme="majorBidi" w:hAnsiTheme="majorBidi" w:cstheme="majorBidi"/>
          <w:sz w:val="24"/>
          <w:szCs w:val="24"/>
          <w:rtl/>
          <w:lang w:bidi="ar-EG"/>
        </w:rPr>
        <w:t>في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المشروع، فيجب الإشارة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إليه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بوضوح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وتحديد حالته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88719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وفي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حالة عدم وجوده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88719B" w:rsidRPr="00B10A71">
        <w:rPr>
          <w:rFonts w:asciiTheme="majorBidi" w:hAnsiTheme="majorBidi" w:cstheme="majorBidi"/>
          <w:sz w:val="24"/>
          <w:szCs w:val="24"/>
          <w:rtl/>
          <w:lang w:bidi="ar-EG"/>
        </w:rPr>
        <w:t>ف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وصف متطلبات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المخطط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بوضوح.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ويشمل المخطط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إنشاء استخدام للأراضي وإنشاء افتراضات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العمل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ومتطلبات نموذج طلب السفر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ومتطلبات الطرق الداخلية مع توصيلات الطرق الخارجية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ومتطلبات نموذج التحوير الدقيق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ومتطلبات نوع الوصلة،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وخطط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حركة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المشاة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وخطة 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>حركة</w:t>
      </w:r>
      <w:r w:rsidR="00F22994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الدراجات الهوائية</w:t>
      </w:r>
      <w:r w:rsidR="00D93536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وخطة حركة النقل.</w:t>
      </w:r>
    </w:p>
    <w:p w14:paraId="330268D8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t xml:space="preserve"> </w:t>
      </w:r>
      <w:bookmarkStart w:id="11" w:name="_Toc525020302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خطة </w:t>
      </w:r>
      <w:r w:rsidR="00D93536" w:rsidRPr="00B10A71">
        <w:rPr>
          <w:rFonts w:asciiTheme="majorBidi" w:hAnsiTheme="majorBidi"/>
          <w:color w:val="auto"/>
          <w:rtl/>
          <w:lang w:bidi="ar-EG"/>
        </w:rPr>
        <w:t>الحركة</w:t>
      </w:r>
      <w:bookmarkEnd w:id="11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7E7CE871" w14:textId="77777777" w:rsidR="00BB4539" w:rsidRPr="00B10A71" w:rsidRDefault="00BB4539" w:rsidP="00654D40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</w:t>
      </w:r>
      <w:r w:rsidR="00654D40" w:rsidRPr="00B10A71">
        <w:rPr>
          <w:rFonts w:asciiTheme="majorBidi" w:hAnsiTheme="majorBidi" w:cstheme="majorBidi"/>
          <w:sz w:val="24"/>
          <w:szCs w:val="24"/>
          <w:rtl/>
        </w:rPr>
        <w:t>مكونات خطة الحركة بوضوح شديد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وتشمل 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حسابات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7A2458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الرحلات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ووصف المشروع والخدمة والوصول 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الطارئ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والوصول إلى الموقع </w:t>
      </w:r>
      <w:r w:rsidR="00654D4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ومنافذ الخروج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والطلب والعرض على مواقف السيارات.</w:t>
      </w:r>
    </w:p>
    <w:p w14:paraId="18EE2190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lang w:bidi="ar-EG"/>
        </w:rPr>
        <w:lastRenderedPageBreak/>
        <w:t xml:space="preserve"> </w:t>
      </w:r>
      <w:bookmarkStart w:id="12" w:name="_Toc525020303"/>
      <w:r w:rsidR="00564200" w:rsidRPr="00B10A71">
        <w:rPr>
          <w:rFonts w:asciiTheme="majorBidi" w:hAnsiTheme="majorBidi"/>
          <w:color w:val="auto"/>
          <w:rtl/>
          <w:lang w:bidi="ar-EG"/>
        </w:rPr>
        <w:t>تقرير المنهجية</w:t>
      </w:r>
      <w:bookmarkEnd w:id="12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028A5FC4" w14:textId="77777777" w:rsidR="00F44590" w:rsidRPr="00B10A71" w:rsidRDefault="00654D40" w:rsidP="00132B77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يُعد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تقرير المنهجية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مطلوباً </w:t>
      </w:r>
      <w:r w:rsidR="00132B77" w:rsidRPr="00B10A71">
        <w:rPr>
          <w:rFonts w:asciiTheme="majorBidi" w:hAnsiTheme="majorBidi" w:cstheme="majorBidi"/>
          <w:sz w:val="24"/>
          <w:szCs w:val="24"/>
          <w:rtl/>
        </w:rPr>
        <w:t>لدراسات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التأثير على المرور،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يتضمن الأسلوب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والاعتبارات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. </w:t>
      </w:r>
      <w:r w:rsidR="007A2458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وصف محتويات تقرير المنهجية بالتفصيل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، ويشمل</w:t>
      </w:r>
      <w:r w:rsidR="00132B7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التقرير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وصف 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للمشروع ومنطقة الدراسة والبنية التحتية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القائمة للنقل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وحركة المرور الأساسية </w:t>
      </w:r>
      <w:r w:rsidR="007A2458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وتولد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الرحلات وطلبات انتظار السيارات ونهج النمذجة </w:t>
      </w:r>
      <w:r w:rsidR="00624808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الاستراتيجية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المقترحة</w:t>
      </w:r>
      <w:r w:rsidR="00132B77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واعتباراتها</w:t>
      </w:r>
      <w:r w:rsidR="00F44590" w:rsidRPr="00B10A7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1889C80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3" w:name="_Toc525020304"/>
      <w:r w:rsidR="00564200" w:rsidRPr="00B10A71">
        <w:rPr>
          <w:rFonts w:asciiTheme="majorBidi" w:hAnsiTheme="majorBidi"/>
          <w:color w:val="auto"/>
          <w:rtl/>
          <w:lang w:bidi="ar-EG"/>
        </w:rPr>
        <w:t>دراسة</w:t>
      </w:r>
      <w:r w:rsidRPr="00B10A71">
        <w:rPr>
          <w:rFonts w:asciiTheme="majorBidi" w:hAnsiTheme="majorBidi"/>
          <w:color w:val="auto"/>
          <w:rtl/>
        </w:rPr>
        <w:t xml:space="preserve"> حركة</w:t>
      </w:r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التأثير</w:t>
      </w:r>
      <w:r w:rsidRPr="00B10A71">
        <w:rPr>
          <w:rFonts w:asciiTheme="majorBidi" w:hAnsiTheme="majorBidi"/>
          <w:color w:val="auto"/>
          <w:lang w:bidi="ar-EG"/>
        </w:rPr>
        <w:t xml:space="preserve"> </w:t>
      </w:r>
      <w:r w:rsidR="00564200" w:rsidRPr="00B10A71">
        <w:rPr>
          <w:rFonts w:asciiTheme="majorBidi" w:hAnsiTheme="majorBidi"/>
          <w:color w:val="auto"/>
          <w:rtl/>
          <w:lang w:bidi="ar-EG"/>
        </w:rPr>
        <w:t>على المرور</w:t>
      </w:r>
      <w:bookmarkEnd w:id="13"/>
    </w:p>
    <w:p w14:paraId="40E89A1E" w14:textId="77777777" w:rsidR="00852045" w:rsidRPr="00B10A71" w:rsidRDefault="00852045" w:rsidP="001A7A50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أن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تقدم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المعايير متطلبات الحالة لمحتويات دراسة التأثير على المرور والتي تشمل حدود منطقة الدراسة والتأثير المروري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على التطوير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ومعدلات </w:t>
      </w:r>
      <w:r w:rsidR="003F534B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تولد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الرحلات ومعدلات </w:t>
      </w:r>
      <w:r w:rsidR="003F534B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تولد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مواقف السيارات وتحليل السعة </w:t>
      </w:r>
      <w:r w:rsidR="003F534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والحركة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والوصول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والخروج من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المواقع ومواقف السيارات والمشاة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وركوب الدراجات</w:t>
      </w:r>
      <w:r w:rsidR="003F534B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تحليل النقل العام وقائمة الانتظار.</w:t>
      </w:r>
    </w:p>
    <w:p w14:paraId="366D438C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4" w:name="_Toc525020305"/>
      <w:r w:rsidR="00564200" w:rsidRPr="00B10A71">
        <w:rPr>
          <w:rFonts w:asciiTheme="majorBidi" w:hAnsiTheme="majorBidi"/>
          <w:color w:val="auto"/>
          <w:rtl/>
          <w:lang w:bidi="ar-EG"/>
        </w:rPr>
        <w:t>الخطة الرئيسية للنقل</w:t>
      </w:r>
      <w:bookmarkEnd w:id="14"/>
    </w:p>
    <w:p w14:paraId="18C512C0" w14:textId="77777777" w:rsidR="00801316" w:rsidRPr="00B10A71" w:rsidRDefault="00436B87" w:rsidP="001A7A50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أن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تقدم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المعايير بشكل واضح متطلبات الدولة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فيما يتعلق بمحتويات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الخطة الرئيسية للنقل والتي </w:t>
      </w:r>
      <w:r w:rsidR="001A7A50" w:rsidRPr="00B10A71">
        <w:rPr>
          <w:rFonts w:asciiTheme="majorBidi" w:hAnsiTheme="majorBidi" w:cstheme="majorBidi"/>
          <w:sz w:val="24"/>
          <w:szCs w:val="24"/>
          <w:rtl/>
          <w:lang w:bidi="ar-EG"/>
        </w:rPr>
        <w:t>تتضمن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البيانات الديموغرافية والاجتماعية الاقتصادية ومناطق تحليل الحركة وتولد الرحلات وتوزيع الرحلات وشبكة الطرق السريعة وشبكة النقل واختيار الوضع وتخصيص الرحلات ونمذجة الشحن.</w:t>
      </w:r>
    </w:p>
    <w:p w14:paraId="5B6D0EC3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5" w:name="_Toc525020306"/>
      <w:r w:rsidR="00564200" w:rsidRPr="00B10A71">
        <w:rPr>
          <w:rFonts w:asciiTheme="majorBidi" w:hAnsiTheme="majorBidi"/>
          <w:color w:val="auto"/>
          <w:rtl/>
          <w:lang w:bidi="ar-EG"/>
        </w:rPr>
        <w:t>البرامج الهندسية</w:t>
      </w:r>
      <w:bookmarkEnd w:id="15"/>
    </w:p>
    <w:p w14:paraId="01DC45D5" w14:textId="77777777" w:rsidR="00EF2611" w:rsidRPr="00B10A71" w:rsidRDefault="00EF2611" w:rsidP="0055424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وصف متطلبات البرامج الهندسية الخاصة بنموذج النقل ونموذج المنطقة وتحليل الممر وتحليل الحاجة إلى التحكم في حركة المرور وتحليل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الطريق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الدائري.</w:t>
      </w:r>
    </w:p>
    <w:p w14:paraId="7A6F9A92" w14:textId="77777777" w:rsidR="00564200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6" w:name="_Toc525020307"/>
      <w:r w:rsidR="00564200" w:rsidRPr="00B10A71">
        <w:rPr>
          <w:rFonts w:asciiTheme="majorBidi" w:hAnsiTheme="majorBidi"/>
          <w:color w:val="auto"/>
          <w:rtl/>
          <w:lang w:bidi="ar-EG"/>
        </w:rPr>
        <w:t>تدقيق سلامة جانب الطريق</w:t>
      </w:r>
      <w:bookmarkEnd w:id="16"/>
      <w:r w:rsidR="00564200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2689DAF7" w14:textId="77777777" w:rsidR="00EB53CE" w:rsidRPr="00B10A71" w:rsidRDefault="00B77265" w:rsidP="00624808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تدقيق السلامة على جانب الطريق هو فحص رسمي لتقاطع أو طريق كامل يؤديه خبير استشاري مستقل. </w:t>
      </w:r>
      <w:r w:rsidR="00DA6E6D" w:rsidRPr="00B10A71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أن تشتمل معايير هذا التدقيق على الغرض وقائمة المراجعة الخاصة بتدقيق السلامة على جانب الطريق</w:t>
      </w:r>
      <w:r w:rsidR="00DA6E6D" w:rsidRPr="00B10A7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1A1ECF5" w14:textId="77777777" w:rsidR="00860C74" w:rsidRPr="00B10A71" w:rsidRDefault="00860C74" w:rsidP="0042760E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sz w:val="24"/>
          <w:szCs w:val="24"/>
          <w:lang w:bidi="ar-EG"/>
        </w:rPr>
      </w:pPr>
      <w:bookmarkStart w:id="17" w:name="_Toc525020308"/>
      <w:r w:rsidRPr="00B10A71">
        <w:rPr>
          <w:rStyle w:val="Heading1Char"/>
          <w:rFonts w:asciiTheme="majorBidi" w:hAnsiTheme="majorBidi"/>
          <w:color w:val="auto"/>
          <w:rtl/>
        </w:rPr>
        <w:t>الإشارات</w:t>
      </w:r>
      <w:bookmarkEnd w:id="17"/>
    </w:p>
    <w:p w14:paraId="0C0C2177" w14:textId="77777777" w:rsidR="00860C74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 </w:t>
      </w:r>
      <w:bookmarkStart w:id="18" w:name="_Toc525020309"/>
      <w:r w:rsidR="00860C74" w:rsidRPr="00B10A71">
        <w:rPr>
          <w:rFonts w:asciiTheme="majorBidi" w:hAnsiTheme="majorBidi"/>
          <w:color w:val="auto"/>
          <w:rtl/>
          <w:lang w:bidi="ar-EG"/>
        </w:rPr>
        <w:t>تصميم إشارات المرور</w:t>
      </w:r>
      <w:bookmarkEnd w:id="18"/>
    </w:p>
    <w:p w14:paraId="486C7705" w14:textId="77777777" w:rsidR="00860C74" w:rsidRPr="00B10A71" w:rsidRDefault="0042760E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19" w:name="_Toc525020310"/>
      <w:r w:rsidR="00860C74" w:rsidRPr="00B10A71">
        <w:rPr>
          <w:rFonts w:asciiTheme="majorBidi" w:hAnsiTheme="majorBidi"/>
          <w:color w:val="auto"/>
          <w:rtl/>
          <w:lang w:bidi="ar-EG"/>
        </w:rPr>
        <w:t>التقييم والتحليل</w:t>
      </w:r>
      <w:bookmarkEnd w:id="19"/>
      <w:r w:rsidR="00860C74" w:rsidRPr="00B10A71">
        <w:rPr>
          <w:rFonts w:asciiTheme="majorBidi" w:hAnsiTheme="majorBidi"/>
          <w:color w:val="auto"/>
          <w:rtl/>
          <w:lang w:bidi="ar-EG"/>
        </w:rPr>
        <w:t xml:space="preserve"> </w:t>
      </w:r>
    </w:p>
    <w:p w14:paraId="041EDBC7" w14:textId="77777777" w:rsidR="003B3E0F" w:rsidRPr="00B10A71" w:rsidRDefault="003B3E0F" w:rsidP="0055424D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المستند المرجعي للمعايير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لتقييم المرور وتحليله.</w:t>
      </w:r>
    </w:p>
    <w:p w14:paraId="2EE2166B" w14:textId="77777777" w:rsidR="00860C74" w:rsidRPr="00B10A71" w:rsidRDefault="0042760E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0" w:name="_Toc525020311"/>
      <w:r w:rsidR="00860C74" w:rsidRPr="00B10A71">
        <w:rPr>
          <w:rFonts w:asciiTheme="majorBidi" w:hAnsiTheme="majorBidi"/>
          <w:color w:val="auto"/>
          <w:rtl/>
          <w:lang w:bidi="ar-EG"/>
        </w:rPr>
        <w:t>المتطلبات التشغيلية</w:t>
      </w:r>
      <w:bookmarkEnd w:id="20"/>
    </w:p>
    <w:p w14:paraId="3282D865" w14:textId="77777777" w:rsidR="00ED4AB4" w:rsidRPr="00B10A71" w:rsidRDefault="00ED4AB4" w:rsidP="0055424D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="00E82E98" w:rsidRPr="00B10A71">
        <w:rPr>
          <w:rFonts w:asciiTheme="majorBidi" w:hAnsiTheme="majorBidi" w:cstheme="majorBidi"/>
          <w:sz w:val="24"/>
          <w:szCs w:val="24"/>
          <w:rtl/>
          <w:lang w:bidi="ar-EG"/>
        </w:rPr>
        <w:t>للتقاطعات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وتنسيق الممرات.</w:t>
      </w:r>
    </w:p>
    <w:p w14:paraId="60B46624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1" w:name="_Toc525020312"/>
      <w:r w:rsidRPr="00B10A71">
        <w:rPr>
          <w:rFonts w:asciiTheme="majorBidi" w:hAnsiTheme="majorBidi"/>
          <w:color w:val="auto"/>
          <w:rtl/>
          <w:lang w:bidi="ar-EG"/>
        </w:rPr>
        <w:t>عرض وتصميم الإشارات</w:t>
      </w:r>
      <w:bookmarkEnd w:id="21"/>
    </w:p>
    <w:p w14:paraId="03BF6FEA" w14:textId="77777777" w:rsidR="00C14DC8" w:rsidRPr="00B10A71" w:rsidRDefault="00C14DC8" w:rsidP="0055424D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لوضع القطب ومؤشر إشارة المرور وأجهزة التركيب.</w:t>
      </w:r>
    </w:p>
    <w:p w14:paraId="623508A5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2" w:name="_Toc525020313"/>
      <w:r w:rsidRPr="00B10A71">
        <w:rPr>
          <w:rFonts w:asciiTheme="majorBidi" w:hAnsiTheme="majorBidi"/>
          <w:color w:val="auto"/>
          <w:rtl/>
          <w:lang w:bidi="ar-EG"/>
        </w:rPr>
        <w:t>سمات مراقبة المشاة</w:t>
      </w:r>
      <w:bookmarkEnd w:id="22"/>
    </w:p>
    <w:p w14:paraId="27999B54" w14:textId="77777777" w:rsidR="00D40CBA" w:rsidRPr="00B10A71" w:rsidRDefault="00D40CBA" w:rsidP="0055424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لسمات مراقبة </w:t>
      </w:r>
      <w:r w:rsidR="007C1BC6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المشاة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4AE8A2E2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3" w:name="_Toc525020314"/>
      <w:r w:rsidRPr="00B10A71">
        <w:rPr>
          <w:rFonts w:asciiTheme="majorBidi" w:hAnsiTheme="majorBidi"/>
          <w:color w:val="auto"/>
          <w:rtl/>
          <w:lang w:bidi="ar-EG"/>
        </w:rPr>
        <w:t>مخطط تسلسل المرحلة</w:t>
      </w:r>
      <w:bookmarkEnd w:id="23"/>
    </w:p>
    <w:p w14:paraId="59BD88DF" w14:textId="77777777" w:rsidR="007C1BC6" w:rsidRPr="00B10A71" w:rsidRDefault="0055424D" w:rsidP="0089212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تُعد المرحلة بأنها</w:t>
      </w:r>
      <w:r w:rsidR="007C1BC6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حركة خاصة يكون لها دلالة خاص</w:t>
      </w:r>
      <w:r w:rsidR="00E82E98" w:rsidRPr="00B10A71">
        <w:rPr>
          <w:rFonts w:asciiTheme="majorBidi" w:hAnsiTheme="majorBidi" w:cstheme="majorBidi"/>
          <w:sz w:val="24"/>
          <w:szCs w:val="24"/>
          <w:rtl/>
          <w:lang w:bidi="ar-EG"/>
        </w:rPr>
        <w:t>ة على الإشارة. ويجب توفير مخطط</w:t>
      </w:r>
      <w:r w:rsidR="007C1BC6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تسلسل المرحلة.</w:t>
      </w:r>
    </w:p>
    <w:p w14:paraId="5738CBDF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4" w:name="_Toc525020315"/>
      <w:r w:rsidRPr="00B10A71">
        <w:rPr>
          <w:rFonts w:asciiTheme="majorBidi" w:hAnsiTheme="majorBidi"/>
          <w:color w:val="auto"/>
          <w:rtl/>
          <w:lang w:bidi="ar-EG"/>
        </w:rPr>
        <w:t>متطلبات الإضاءة لإشارات المرور</w:t>
      </w:r>
      <w:bookmarkEnd w:id="24"/>
    </w:p>
    <w:p w14:paraId="38F20354" w14:textId="77777777" w:rsidR="007C1BC6" w:rsidRPr="00B10A71" w:rsidRDefault="002E4D6D" w:rsidP="0055424D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55424D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لكثافة وتوزيع الإضاءة لمنشآت إشارات المرور.</w:t>
      </w:r>
    </w:p>
    <w:p w14:paraId="377674C6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5" w:name="_Toc525020316"/>
      <w:r w:rsidRPr="00B10A71">
        <w:rPr>
          <w:rFonts w:asciiTheme="majorBidi" w:hAnsiTheme="majorBidi"/>
          <w:color w:val="auto"/>
          <w:rtl/>
          <w:lang w:bidi="ar-EG"/>
        </w:rPr>
        <w:t>ضوابط إشارات المرور الثلاثة</w:t>
      </w:r>
      <w:bookmarkEnd w:id="25"/>
    </w:p>
    <w:p w14:paraId="566A9FCD" w14:textId="77777777" w:rsidR="00436531" w:rsidRPr="00B10A71" w:rsidRDefault="00CC1E9B" w:rsidP="007A5165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7A5165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لضوابط إشارات ت المرور.</w:t>
      </w:r>
    </w:p>
    <w:p w14:paraId="53816D70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6" w:name="_Toc525020317"/>
      <w:r w:rsidRPr="00B10A71">
        <w:rPr>
          <w:rFonts w:asciiTheme="majorBidi" w:hAnsiTheme="majorBidi"/>
          <w:color w:val="auto"/>
          <w:rtl/>
          <w:lang w:bidi="ar-EG"/>
        </w:rPr>
        <w:lastRenderedPageBreak/>
        <w:t>أجهزة الكشف</w:t>
      </w:r>
      <w:bookmarkEnd w:id="26"/>
    </w:p>
    <w:p w14:paraId="27504618" w14:textId="77777777" w:rsidR="00412FB5" w:rsidRPr="00B10A71" w:rsidRDefault="00412FB5" w:rsidP="007A5165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7A5165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لأجهزة الكشف المرورية.</w:t>
      </w:r>
    </w:p>
    <w:p w14:paraId="4D9DC97B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7" w:name="_Toc525020318"/>
      <w:r w:rsidRPr="00B10A71">
        <w:rPr>
          <w:rFonts w:asciiTheme="majorBidi" w:hAnsiTheme="majorBidi"/>
          <w:color w:val="auto"/>
          <w:rtl/>
          <w:lang w:bidi="ar-EG"/>
        </w:rPr>
        <w:t>الأسلاك</w:t>
      </w:r>
      <w:r w:rsidRPr="00B10A71">
        <w:rPr>
          <w:rFonts w:asciiTheme="majorBidi" w:hAnsiTheme="majorBidi"/>
          <w:color w:val="auto"/>
          <w:lang w:bidi="ar-EG"/>
        </w:rPr>
        <w:t>/</w:t>
      </w:r>
      <w:r w:rsidRPr="00B10A71">
        <w:rPr>
          <w:rFonts w:asciiTheme="majorBidi" w:hAnsiTheme="majorBidi"/>
          <w:color w:val="auto"/>
          <w:rtl/>
          <w:lang w:bidi="ar-EG"/>
        </w:rPr>
        <w:t xml:space="preserve"> الكابلات</w:t>
      </w:r>
      <w:bookmarkEnd w:id="27"/>
    </w:p>
    <w:p w14:paraId="39474774" w14:textId="77777777" w:rsidR="00264439" w:rsidRPr="00B10A71" w:rsidRDefault="00F774AA" w:rsidP="007A5165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7A5165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المستند المرجعي للمعايير</w:t>
      </w:r>
      <w:r w:rsidR="007A5165" w:rsidRPr="00B10A71">
        <w:rPr>
          <w:rFonts w:asciiTheme="majorBidi" w:hAnsiTheme="majorBidi" w:cstheme="majorBidi"/>
          <w:rtl/>
        </w:rPr>
        <w:t xml:space="preserve"> </w:t>
      </w:r>
      <w:r w:rsidR="00B63F35" w:rsidRPr="00B10A71">
        <w:rPr>
          <w:rFonts w:asciiTheme="majorBidi" w:hAnsiTheme="majorBidi" w:cstheme="majorBidi"/>
          <w:rtl/>
        </w:rPr>
        <w:t>لكابل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التوصيل  والقنوات ومتطلبات صندوق السحب.</w:t>
      </w:r>
    </w:p>
    <w:p w14:paraId="7E8D09D3" w14:textId="77777777" w:rsidR="00860C74" w:rsidRPr="00B10A71" w:rsidRDefault="00860C74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8" w:name="_Toc525020319"/>
      <w:r w:rsidRPr="00B10A71">
        <w:rPr>
          <w:rFonts w:asciiTheme="majorBidi" w:hAnsiTheme="majorBidi"/>
          <w:color w:val="auto"/>
          <w:rtl/>
          <w:lang w:bidi="ar-EG"/>
        </w:rPr>
        <w:t>معدات إشارات المرور الأخرى</w:t>
      </w:r>
      <w:bookmarkEnd w:id="28"/>
    </w:p>
    <w:p w14:paraId="03BED7F2" w14:textId="77777777" w:rsidR="00B63F35" w:rsidRPr="00B10A71" w:rsidRDefault="00B63F35" w:rsidP="007A5165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7A5165"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المستند المرجعي للمعايير</w:t>
      </w:r>
      <w:r w:rsidR="007A5165" w:rsidRPr="00B10A71">
        <w:rPr>
          <w:rFonts w:asciiTheme="majorBidi" w:hAnsiTheme="majorBidi" w:cstheme="majorBidi"/>
          <w:rtl/>
        </w:rPr>
        <w:t xml:space="preserve"> </w:t>
      </w:r>
      <w:r w:rsidR="00EB1783" w:rsidRPr="00B10A71">
        <w:rPr>
          <w:rFonts w:asciiTheme="majorBidi" w:hAnsiTheme="majorBidi" w:cstheme="majorBidi"/>
          <w:rtl/>
        </w:rPr>
        <w:t>لمعدات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إشارات المرور الأخرى مثل</w:t>
      </w:r>
      <w:r w:rsidRPr="00B10A71">
        <w:rPr>
          <w:rFonts w:asciiTheme="majorBidi" w:hAnsiTheme="majorBidi" w:cstheme="majorBidi"/>
          <w:rtl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أنظمة الاستجواب.</w:t>
      </w:r>
    </w:p>
    <w:p w14:paraId="4B6F0ECB" w14:textId="77777777" w:rsidR="00860C74" w:rsidRPr="00B10A71" w:rsidRDefault="0042760E" w:rsidP="0042760E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9" w:name="_Toc525020320"/>
      <w:r w:rsidR="00860C74" w:rsidRPr="00B10A71">
        <w:rPr>
          <w:rFonts w:asciiTheme="majorBidi" w:hAnsiTheme="majorBidi"/>
          <w:color w:val="auto"/>
          <w:rtl/>
          <w:lang w:bidi="ar-EG"/>
        </w:rPr>
        <w:t>إشارات المرور الأخرى.</w:t>
      </w:r>
      <w:bookmarkEnd w:id="29"/>
    </w:p>
    <w:p w14:paraId="7E975E34" w14:textId="77777777" w:rsidR="00EB1783" w:rsidRPr="00B10A71" w:rsidRDefault="00EB1783" w:rsidP="007A5165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معايير أو </w:t>
      </w:r>
      <w:r w:rsidR="007A5165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المستند المرجعي للمعايير </w:t>
      </w:r>
      <w:r w:rsidR="00956F0E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لإشارات المرور الأخرى مثل </w:t>
      </w:r>
      <w:r w:rsidR="001E4CE2" w:rsidRPr="00B10A71">
        <w:rPr>
          <w:rFonts w:asciiTheme="majorBidi" w:hAnsiTheme="majorBidi" w:cstheme="majorBidi"/>
          <w:sz w:val="24"/>
          <w:szCs w:val="24"/>
          <w:rtl/>
          <w:lang w:bidi="ar-EG"/>
        </w:rPr>
        <w:t>منارات تحذير ومنارات التحكم في التقاطعات ومنارات عبور المشاة.</w:t>
      </w:r>
    </w:p>
    <w:p w14:paraId="1005F6A4" w14:textId="77777777" w:rsidR="00860C74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0" w:name="_Toc525020321"/>
      <w:r w:rsidR="00860C74" w:rsidRPr="00B10A71">
        <w:rPr>
          <w:rFonts w:asciiTheme="majorBidi" w:hAnsiTheme="majorBidi"/>
          <w:color w:val="auto"/>
          <w:rtl/>
          <w:lang w:bidi="ar-EG"/>
        </w:rPr>
        <w:t>مراقبة المرور</w:t>
      </w:r>
      <w:bookmarkEnd w:id="30"/>
    </w:p>
    <w:p w14:paraId="4FD3ADE5" w14:textId="77777777" w:rsidR="001E4CE2" w:rsidRPr="00B10A71" w:rsidRDefault="00BD777F" w:rsidP="0089212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ذكر المبادئ التوجيهية لبروتوكول أنظمة مراقبة حركة المرور وفقًا لخطة المنطقة ذات الصلة.</w:t>
      </w:r>
    </w:p>
    <w:p w14:paraId="06C30C80" w14:textId="77777777" w:rsidR="00860C74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1" w:name="_Toc525020322"/>
      <w:r w:rsidR="00860C74" w:rsidRPr="00B10A71">
        <w:rPr>
          <w:rFonts w:asciiTheme="majorBidi" w:hAnsiTheme="majorBidi"/>
          <w:color w:val="auto"/>
          <w:rtl/>
          <w:lang w:bidi="ar-EG"/>
        </w:rPr>
        <w:t>تهدئة حركة المرور</w:t>
      </w:r>
      <w:bookmarkEnd w:id="31"/>
    </w:p>
    <w:p w14:paraId="03C349F8" w14:textId="77777777" w:rsidR="00BD777F" w:rsidRPr="00B10A71" w:rsidRDefault="00BD3436" w:rsidP="0089212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ذكر الإرشادات لتدابير تهدئة حركة المرور وفقًا لخطة المنطقة ذات الصلة.</w:t>
      </w:r>
    </w:p>
    <w:p w14:paraId="75F95CCC" w14:textId="77777777" w:rsidR="00860C74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2" w:name="_Toc525020323"/>
      <w:r w:rsidR="00860C74" w:rsidRPr="00B10A71">
        <w:rPr>
          <w:rFonts w:asciiTheme="majorBidi" w:hAnsiTheme="majorBidi"/>
          <w:color w:val="auto"/>
          <w:rtl/>
          <w:lang w:bidi="ar-EG"/>
        </w:rPr>
        <w:t>تدابير التنقل</w:t>
      </w:r>
      <w:bookmarkEnd w:id="32"/>
    </w:p>
    <w:p w14:paraId="7A69F6AA" w14:textId="77777777" w:rsidR="00BD3436" w:rsidRPr="00B10A71" w:rsidRDefault="00BD3436" w:rsidP="0089212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توفير المبادئ التوجيهية أو مستند المعايير لتدابير حركة المرور.</w:t>
      </w:r>
    </w:p>
    <w:p w14:paraId="4E28E200" w14:textId="77777777" w:rsidR="00860C74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3" w:name="_Toc525020324"/>
      <w:r w:rsidR="00860C74" w:rsidRPr="00B10A71">
        <w:rPr>
          <w:rFonts w:asciiTheme="majorBidi" w:hAnsiTheme="majorBidi"/>
          <w:color w:val="auto"/>
          <w:rtl/>
          <w:lang w:bidi="ar-EG"/>
        </w:rPr>
        <w:t>تحسين المرور</w:t>
      </w:r>
      <w:bookmarkEnd w:id="33"/>
    </w:p>
    <w:p w14:paraId="1172F8CA" w14:textId="77777777" w:rsidR="00BD3436" w:rsidRPr="00B10A71" w:rsidRDefault="00BD3436" w:rsidP="0089212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توفير</w:t>
      </w:r>
      <w:r w:rsidR="00ED30FF"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المبادئ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التوجيهية أو مستند المعايير لتحسين المرور.</w:t>
      </w:r>
    </w:p>
    <w:p w14:paraId="02BF083F" w14:textId="77777777" w:rsidR="00673C12" w:rsidRPr="00B10A71" w:rsidRDefault="0042760E" w:rsidP="0042760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B10A71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34" w:name="_Toc525020325"/>
      <w:r w:rsidR="00860C74" w:rsidRPr="00B10A71">
        <w:rPr>
          <w:rFonts w:asciiTheme="majorBidi" w:hAnsiTheme="majorBidi"/>
          <w:color w:val="auto"/>
          <w:rtl/>
          <w:lang w:bidi="ar-EG"/>
        </w:rPr>
        <w:t>نظام النقل الذكي</w:t>
      </w:r>
      <w:bookmarkEnd w:id="34"/>
    </w:p>
    <w:p w14:paraId="75AC0877" w14:textId="77777777" w:rsidR="003B543C" w:rsidRPr="00B10A71" w:rsidRDefault="00ED30FF" w:rsidP="00624808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يجب ذكر</w:t>
      </w:r>
      <w:r w:rsidRPr="00B10A71">
        <w:rPr>
          <w:rFonts w:asciiTheme="majorBidi" w:hAnsiTheme="majorBidi" w:cstheme="majorBidi"/>
          <w:rtl/>
        </w:rPr>
        <w:t xml:space="preserve"> </w:t>
      </w:r>
      <w:r w:rsidRPr="00B10A71">
        <w:rPr>
          <w:rFonts w:asciiTheme="majorBidi" w:hAnsiTheme="majorBidi" w:cstheme="majorBidi"/>
          <w:sz w:val="24"/>
          <w:szCs w:val="24"/>
          <w:rtl/>
          <w:lang w:bidi="ar-EG"/>
        </w:rPr>
        <w:t>المبادئ التوجيهية لنظام النقل الذكي وفقاً لخطة المنطقة ذات الصلة.</w:t>
      </w:r>
    </w:p>
    <w:p w14:paraId="63CDA42F" w14:textId="77777777" w:rsidR="00203DDA" w:rsidRPr="00B10A71" w:rsidRDefault="00203DDA" w:rsidP="00624808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sectPr w:rsidR="00203DDA" w:rsidRPr="00B10A71" w:rsidSect="00B10A71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BA20" w14:textId="77777777" w:rsidR="00962C23" w:rsidRDefault="00962C23" w:rsidP="003B543C">
      <w:pPr>
        <w:spacing w:after="0" w:line="240" w:lineRule="auto"/>
      </w:pPr>
      <w:r>
        <w:separator/>
      </w:r>
    </w:p>
  </w:endnote>
  <w:endnote w:type="continuationSeparator" w:id="0">
    <w:p w14:paraId="3B6BED8B" w14:textId="77777777" w:rsidR="00962C23" w:rsidRDefault="00962C23" w:rsidP="003B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9041" w14:textId="7E4D8ABE" w:rsidR="00B10A71" w:rsidRPr="006C1ABD" w:rsidRDefault="00B10A71" w:rsidP="00B10A7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042E140">
        <v:line id="Straight Connector 4" o:spid="_x0000_s2050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E5B1258971345BC9CB92105ED9108E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C790EFD4DEC47F3A12708FB8B4292C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747A3287AB204F5BB0396190CC65A14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A4DE0A3" w14:textId="77777777" w:rsidR="00B10A71" w:rsidRPr="006C1ABD" w:rsidRDefault="00B10A71" w:rsidP="00B10A7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0B0CBF3" w14:textId="3EB02AF7" w:rsidR="003B543C" w:rsidRPr="00B10A71" w:rsidRDefault="00B10A71" w:rsidP="00B10A71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9CF6" w14:textId="77777777" w:rsidR="00962C23" w:rsidRDefault="00962C23" w:rsidP="003B543C">
      <w:pPr>
        <w:spacing w:after="0" w:line="240" w:lineRule="auto"/>
      </w:pPr>
      <w:r>
        <w:separator/>
      </w:r>
    </w:p>
  </w:footnote>
  <w:footnote w:type="continuationSeparator" w:id="0">
    <w:p w14:paraId="2DD44E46" w14:textId="77777777" w:rsidR="00962C23" w:rsidRDefault="00962C23" w:rsidP="003B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A21C" w14:textId="77777777" w:rsidR="00892123" w:rsidRPr="00B10A71" w:rsidRDefault="006C0988" w:rsidP="00892123">
    <w:pPr>
      <w:bidi/>
      <w:jc w:val="center"/>
      <w:rPr>
        <w:rFonts w:asciiTheme="majorBidi" w:hAnsiTheme="majorBidi" w:cstheme="majorBidi"/>
        <w:sz w:val="24"/>
        <w:szCs w:val="24"/>
        <w:lang w:bidi="ar-EG"/>
      </w:rPr>
    </w:pPr>
    <w:r w:rsidRPr="00B10A71">
      <w:rPr>
        <w:rFonts w:asciiTheme="majorBidi" w:hAnsiTheme="majorBidi" w:cstheme="majorBidi"/>
        <w:noProof/>
      </w:rPr>
      <w:drawing>
        <wp:anchor distT="0" distB="0" distL="114300" distR="114300" simplePos="0" relativeHeight="251657216" behindDoc="0" locked="0" layoutInCell="1" allowOverlap="1" wp14:anchorId="1F1B7CB3" wp14:editId="7C8B9041">
          <wp:simplePos x="0" y="0"/>
          <wp:positionH relativeFrom="leftMargin">
            <wp:posOffset>367030</wp:posOffset>
          </wp:positionH>
          <wp:positionV relativeFrom="paragraph">
            <wp:posOffset>-266700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0A71">
      <w:rPr>
        <w:rFonts w:asciiTheme="majorBidi" w:hAnsiTheme="majorBidi" w:cstheme="majorBidi"/>
        <w:sz w:val="24"/>
        <w:szCs w:val="24"/>
        <w:rtl/>
      </w:rPr>
      <w:t xml:space="preserve">نموذج </w:t>
    </w:r>
    <w:r w:rsidR="00892123" w:rsidRPr="00B10A71">
      <w:rPr>
        <w:rFonts w:asciiTheme="majorBidi" w:hAnsiTheme="majorBidi" w:cstheme="majorBidi"/>
        <w:sz w:val="24"/>
        <w:szCs w:val="24"/>
        <w:rtl/>
        <w:lang w:bidi="ar-EG"/>
      </w:rPr>
      <w:t>معايير تصميم المرور والنقل</w:t>
    </w:r>
  </w:p>
  <w:p w14:paraId="3400D1DB" w14:textId="77777777" w:rsidR="00892123" w:rsidRPr="00892123" w:rsidRDefault="00892123" w:rsidP="00892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D4789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074E60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817"/>
    <w:rsid w:val="00014F2B"/>
    <w:rsid w:val="00082F81"/>
    <w:rsid w:val="00132B77"/>
    <w:rsid w:val="001A7A50"/>
    <w:rsid w:val="001D3B19"/>
    <w:rsid w:val="001E4CE2"/>
    <w:rsid w:val="00203DDA"/>
    <w:rsid w:val="00207BF9"/>
    <w:rsid w:val="00264439"/>
    <w:rsid w:val="002C7732"/>
    <w:rsid w:val="002E4D6D"/>
    <w:rsid w:val="00341817"/>
    <w:rsid w:val="0036171E"/>
    <w:rsid w:val="003B3E0F"/>
    <w:rsid w:val="003B543C"/>
    <w:rsid w:val="003E0596"/>
    <w:rsid w:val="003F534B"/>
    <w:rsid w:val="00412FB5"/>
    <w:rsid w:val="0042760E"/>
    <w:rsid w:val="00436531"/>
    <w:rsid w:val="00436B87"/>
    <w:rsid w:val="00474652"/>
    <w:rsid w:val="00531827"/>
    <w:rsid w:val="0055424D"/>
    <w:rsid w:val="00564200"/>
    <w:rsid w:val="00576B6C"/>
    <w:rsid w:val="0058528A"/>
    <w:rsid w:val="00624808"/>
    <w:rsid w:val="006341E1"/>
    <w:rsid w:val="00634970"/>
    <w:rsid w:val="00647C9C"/>
    <w:rsid w:val="00654D40"/>
    <w:rsid w:val="00673C12"/>
    <w:rsid w:val="006C0988"/>
    <w:rsid w:val="006D56DF"/>
    <w:rsid w:val="00740E79"/>
    <w:rsid w:val="00773A0E"/>
    <w:rsid w:val="00795726"/>
    <w:rsid w:val="007A2458"/>
    <w:rsid w:val="007A5165"/>
    <w:rsid w:val="007C1BC6"/>
    <w:rsid w:val="00801316"/>
    <w:rsid w:val="00833E60"/>
    <w:rsid w:val="00852045"/>
    <w:rsid w:val="00860C74"/>
    <w:rsid w:val="00862EFA"/>
    <w:rsid w:val="0088719B"/>
    <w:rsid w:val="00892123"/>
    <w:rsid w:val="00901A5F"/>
    <w:rsid w:val="009524C1"/>
    <w:rsid w:val="00956F0E"/>
    <w:rsid w:val="00962C23"/>
    <w:rsid w:val="009E675E"/>
    <w:rsid w:val="00A4420A"/>
    <w:rsid w:val="00B10A71"/>
    <w:rsid w:val="00B13A79"/>
    <w:rsid w:val="00B63F35"/>
    <w:rsid w:val="00B77265"/>
    <w:rsid w:val="00BB4539"/>
    <w:rsid w:val="00BD3436"/>
    <w:rsid w:val="00BD777F"/>
    <w:rsid w:val="00BE4C52"/>
    <w:rsid w:val="00BF60F8"/>
    <w:rsid w:val="00C14DC8"/>
    <w:rsid w:val="00C40EDC"/>
    <w:rsid w:val="00CC1E9B"/>
    <w:rsid w:val="00CD45E0"/>
    <w:rsid w:val="00D03039"/>
    <w:rsid w:val="00D40CBA"/>
    <w:rsid w:val="00D93536"/>
    <w:rsid w:val="00DA6E6D"/>
    <w:rsid w:val="00E0123D"/>
    <w:rsid w:val="00E82E98"/>
    <w:rsid w:val="00EB1783"/>
    <w:rsid w:val="00EB2ABB"/>
    <w:rsid w:val="00EB53CE"/>
    <w:rsid w:val="00ED30FF"/>
    <w:rsid w:val="00ED4AB4"/>
    <w:rsid w:val="00EF2611"/>
    <w:rsid w:val="00EF4A77"/>
    <w:rsid w:val="00F22994"/>
    <w:rsid w:val="00F44590"/>
    <w:rsid w:val="00F65807"/>
    <w:rsid w:val="00F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315657"/>
  <w15:docId w15:val="{F649454C-4F91-4358-8E1D-9939439F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17"/>
  </w:style>
  <w:style w:type="paragraph" w:styleId="Heading1">
    <w:name w:val="heading 1"/>
    <w:basedOn w:val="Normal"/>
    <w:next w:val="Normal"/>
    <w:link w:val="Heading1Char"/>
    <w:uiPriority w:val="9"/>
    <w:qFormat/>
    <w:rsid w:val="006D5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3C"/>
  </w:style>
  <w:style w:type="paragraph" w:styleId="Footer">
    <w:name w:val="footer"/>
    <w:basedOn w:val="Normal"/>
    <w:link w:val="FooterChar"/>
    <w:uiPriority w:val="99"/>
    <w:unhideWhenUsed/>
    <w:rsid w:val="003B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3C"/>
  </w:style>
  <w:style w:type="paragraph" w:styleId="BalloonText">
    <w:name w:val="Balloon Text"/>
    <w:basedOn w:val="Normal"/>
    <w:link w:val="BalloonTextChar"/>
    <w:uiPriority w:val="99"/>
    <w:semiHidden/>
    <w:unhideWhenUsed/>
    <w:rsid w:val="003B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D5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5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6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207BF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07BF9"/>
    <w:pPr>
      <w:tabs>
        <w:tab w:val="left" w:pos="360"/>
        <w:tab w:val="right" w:leader="dot" w:pos="9350"/>
      </w:tabs>
      <w:bidi/>
      <w:spacing w:after="100" w:line="240" w:lineRule="exact"/>
    </w:pPr>
  </w:style>
  <w:style w:type="paragraph" w:styleId="TOC2">
    <w:name w:val="toc 2"/>
    <w:basedOn w:val="Normal"/>
    <w:next w:val="Normal"/>
    <w:autoRedefine/>
    <w:uiPriority w:val="39"/>
    <w:unhideWhenUsed/>
    <w:rsid w:val="00207BF9"/>
    <w:pPr>
      <w:tabs>
        <w:tab w:val="left" w:pos="630"/>
        <w:tab w:val="right" w:leader="dot" w:pos="9350"/>
      </w:tabs>
      <w:bidi/>
      <w:spacing w:after="100" w:line="240" w:lineRule="exact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07BF9"/>
    <w:pPr>
      <w:tabs>
        <w:tab w:val="left" w:pos="1260"/>
        <w:tab w:val="right" w:leader="dot" w:pos="9350"/>
      </w:tabs>
      <w:bidi/>
      <w:spacing w:after="100" w:line="240" w:lineRule="exact"/>
      <w:ind w:left="440"/>
    </w:pPr>
  </w:style>
  <w:style w:type="character" w:styleId="Hyperlink">
    <w:name w:val="Hyperlink"/>
    <w:basedOn w:val="DefaultParagraphFont"/>
    <w:uiPriority w:val="99"/>
    <w:unhideWhenUsed/>
    <w:rsid w:val="00207BF9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6C0988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6C0988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6C0988"/>
    <w:rPr>
      <w:color w:val="808080"/>
    </w:rPr>
  </w:style>
  <w:style w:type="paragraph" w:styleId="BodyText">
    <w:name w:val="Body Text"/>
    <w:basedOn w:val="Normal"/>
    <w:link w:val="BodyTextChar"/>
    <w:uiPriority w:val="99"/>
    <w:rsid w:val="006C098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0988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6C0988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6C0988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B1258971345BC9CB92105ED91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4B0F-07CA-4C30-BE4D-5554BB5BA8C3}"/>
      </w:docPartPr>
      <w:docPartBody>
        <w:p w:rsidR="00000000" w:rsidRDefault="00E92A58" w:rsidP="00E92A58">
          <w:pPr>
            <w:pStyle w:val="8E5B1258971345BC9CB92105ED9108E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C790EFD4DEC47F3A12708FB8B42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2119-88CB-4AA7-BBB4-E18A0AD293A7}"/>
      </w:docPartPr>
      <w:docPartBody>
        <w:p w:rsidR="00000000" w:rsidRDefault="00E92A58" w:rsidP="00E92A58">
          <w:pPr>
            <w:pStyle w:val="0C790EFD4DEC47F3A12708FB8B4292C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47A3287AB204F5BB0396190CC65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7520-D0BA-45CD-BF52-760F7E6F8F29}"/>
      </w:docPartPr>
      <w:docPartBody>
        <w:p w:rsidR="00000000" w:rsidRDefault="00E92A58" w:rsidP="00E92A58">
          <w:pPr>
            <w:pStyle w:val="747A3287AB204F5BB0396190CC65A14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6F"/>
    <w:rsid w:val="00410B6F"/>
    <w:rsid w:val="00841CE5"/>
    <w:rsid w:val="00E92A58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92A58"/>
    <w:rPr>
      <w:color w:val="808080"/>
    </w:rPr>
  </w:style>
  <w:style w:type="paragraph" w:customStyle="1" w:styleId="58A39DF3215F4F57B1F3DB192B9D407E">
    <w:name w:val="58A39DF3215F4F57B1F3DB192B9D407E"/>
    <w:rsid w:val="00410B6F"/>
  </w:style>
  <w:style w:type="paragraph" w:customStyle="1" w:styleId="2766E22CF6E843CDB5CF16833BB561D4">
    <w:name w:val="2766E22CF6E843CDB5CF16833BB561D4"/>
    <w:rsid w:val="00410B6F"/>
  </w:style>
  <w:style w:type="paragraph" w:customStyle="1" w:styleId="79033384D17B4B4AAD0BD4242193E25C">
    <w:name w:val="79033384D17B4B4AAD0BD4242193E25C"/>
    <w:rsid w:val="00410B6F"/>
  </w:style>
  <w:style w:type="paragraph" w:customStyle="1" w:styleId="8E5B1258971345BC9CB92105ED9108E0">
    <w:name w:val="8E5B1258971345BC9CB92105ED9108E0"/>
    <w:rsid w:val="00E92A58"/>
  </w:style>
  <w:style w:type="paragraph" w:customStyle="1" w:styleId="0C790EFD4DEC47F3A12708FB8B4292CD">
    <w:name w:val="0C790EFD4DEC47F3A12708FB8B4292CD"/>
    <w:rsid w:val="00E92A58"/>
  </w:style>
  <w:style w:type="paragraph" w:customStyle="1" w:styleId="58994B4C55424CA5A057FD273F8AD8D6">
    <w:name w:val="58994B4C55424CA5A057FD273F8AD8D6"/>
    <w:rsid w:val="00410B6F"/>
  </w:style>
  <w:style w:type="paragraph" w:customStyle="1" w:styleId="577E1C1677504522B12F9EFB133F33C6">
    <w:name w:val="577E1C1677504522B12F9EFB133F33C6"/>
    <w:rsid w:val="00410B6F"/>
  </w:style>
  <w:style w:type="paragraph" w:customStyle="1" w:styleId="747A3287AB204F5BB0396190CC65A140">
    <w:name w:val="747A3287AB204F5BB0396190CC65A140"/>
    <w:rsid w:val="00E92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DC51-07C1-4C5F-B96B-D91BE89C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تصميم المرور والنقل</dc:title>
  <dc:subject>EPM-KEC-TP-000019-AR</dc:subject>
  <dc:creator>Peter</dc:creator>
  <cp:lastModifiedBy>اسماء المطيري Asma Almutairi</cp:lastModifiedBy>
  <cp:revision>84</cp:revision>
  <dcterms:created xsi:type="dcterms:W3CDTF">2018-08-13T13:04:00Z</dcterms:created>
  <dcterms:modified xsi:type="dcterms:W3CDTF">2022-04-17T13:19:00Z</dcterms:modified>
  <cp:contentStatus>000</cp:contentStatus>
</cp:coreProperties>
</file>